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1FF2B" w14:textId="677DE586" w:rsidR="00BB2A23" w:rsidRDefault="00BB2A23" w:rsidP="001C4005">
      <w:pPr>
        <w:spacing w:before="120" w:after="120" w:line="240" w:lineRule="auto"/>
        <w:rPr>
          <w:b/>
          <w:sz w:val="48"/>
          <w:szCs w:val="48"/>
        </w:rPr>
      </w:pPr>
      <w:r w:rsidRPr="00EB3EBB">
        <w:rPr>
          <w:b/>
          <w:sz w:val="48"/>
          <w:szCs w:val="48"/>
        </w:rPr>
        <w:t>Extrait</w:t>
      </w:r>
      <w:r w:rsidR="00777FEB">
        <w:rPr>
          <w:b/>
          <w:sz w:val="48"/>
          <w:szCs w:val="48"/>
        </w:rPr>
        <w:t xml:space="preserve"> de la </w:t>
      </w:r>
      <w:hyperlink r:id="rId8" w:anchor="ga:l_xi_1-h1" w:history="1">
        <w:r w:rsidR="00777FEB" w:rsidRPr="00D26EFE">
          <w:rPr>
            <w:rStyle w:val="Lienhypertexte"/>
            <w:b/>
            <w:i/>
            <w:iCs/>
            <w:sz w:val="48"/>
            <w:szCs w:val="48"/>
          </w:rPr>
          <w:t>Loi sur les cités et villes</w:t>
        </w:r>
      </w:hyperlink>
      <w:r w:rsidR="00EB3EBB" w:rsidRPr="005757D7">
        <w:rPr>
          <w:rStyle w:val="Appeldenotedefin"/>
          <w:b/>
          <w:sz w:val="48"/>
          <w:szCs w:val="48"/>
        </w:rPr>
        <w:endnoteReference w:id="1"/>
      </w:r>
    </w:p>
    <w:p w14:paraId="255B8176" w14:textId="77777777" w:rsidR="005757D7" w:rsidRDefault="005757D7" w:rsidP="001C4005">
      <w:pPr>
        <w:spacing w:before="120" w:after="120" w:line="240" w:lineRule="auto"/>
        <w:rPr>
          <w:b/>
        </w:rPr>
      </w:pPr>
    </w:p>
    <w:p w14:paraId="7280C391" w14:textId="424DD6BA" w:rsidR="00BA5372" w:rsidRPr="00BB2A23" w:rsidRDefault="00BA5372" w:rsidP="001C4005">
      <w:pPr>
        <w:spacing w:before="120" w:after="120" w:line="240" w:lineRule="auto"/>
        <w:rPr>
          <w:b/>
        </w:rPr>
      </w:pPr>
      <w:r>
        <w:rPr>
          <w:b/>
        </w:rPr>
        <w:t>[…]</w:t>
      </w:r>
    </w:p>
    <w:p w14:paraId="7B87CDCD" w14:textId="77777777" w:rsidR="00B53B60" w:rsidRPr="00B53B60" w:rsidRDefault="00B53B60" w:rsidP="00D26EFE">
      <w:pPr>
        <w:shd w:val="clear" w:color="auto" w:fill="F2F8FC"/>
        <w:spacing w:after="60" w:line="240" w:lineRule="auto"/>
        <w:rPr>
          <w:rFonts w:ascii="Arial" w:eastAsia="Times New Roman" w:hAnsi="Arial" w:cs="Arial"/>
          <w:color w:val="333333"/>
          <w:lang w:eastAsia="fr-CA"/>
        </w:rPr>
      </w:pPr>
      <w:r w:rsidRPr="00B53B60">
        <w:rPr>
          <w:rFonts w:ascii="Arial" w:eastAsia="Times New Roman" w:hAnsi="Arial" w:cs="Arial"/>
          <w:b/>
          <w:bCs/>
          <w:caps/>
          <w:color w:val="333333"/>
          <w:lang w:eastAsia="fr-CA"/>
        </w:rPr>
        <w:t>SECTION XI.1</w:t>
      </w:r>
    </w:p>
    <w:p w14:paraId="26FEB1E0" w14:textId="6BE4C943" w:rsidR="00B53B60" w:rsidRPr="00B53B60" w:rsidRDefault="00B53B60" w:rsidP="00B53B60">
      <w:pPr>
        <w:shd w:val="clear" w:color="auto" w:fill="F2F8FC"/>
        <w:spacing w:line="240" w:lineRule="auto"/>
        <w:rPr>
          <w:rFonts w:ascii="Arial" w:eastAsia="Times New Roman" w:hAnsi="Arial" w:cs="Arial"/>
          <w:caps/>
          <w:color w:val="333333"/>
          <w:lang w:eastAsia="fr-CA"/>
        </w:rPr>
      </w:pPr>
      <w:r w:rsidRPr="00B53B60">
        <w:rPr>
          <w:rFonts w:ascii="Arial" w:eastAsia="Times New Roman" w:hAnsi="Arial" w:cs="Arial"/>
          <w:caps/>
          <w:color w:val="333333"/>
          <w:lang w:eastAsia="fr-CA"/>
        </w:rPr>
        <w:t>DE L’OMBUDSMAN DE LA MUNICIPALITÉ</w:t>
      </w:r>
      <w:r w:rsidRPr="00B53B60">
        <w:rPr>
          <w:rFonts w:ascii="Arial" w:eastAsia="Times New Roman" w:hAnsi="Arial" w:cs="Arial"/>
          <w:color w:val="333333"/>
          <w:sz w:val="18"/>
          <w:szCs w:val="18"/>
          <w:lang w:eastAsia="fr-CA"/>
        </w:rPr>
        <w:t>.</w:t>
      </w:r>
    </w:p>
    <w:p w14:paraId="13FAB6F1" w14:textId="0D8964A6" w:rsidR="00B53B60" w:rsidRPr="00B53B60" w:rsidRDefault="00B53B60" w:rsidP="00B53B60">
      <w:pPr>
        <w:shd w:val="clear" w:color="auto" w:fill="FFFFFF"/>
        <w:spacing w:after="0" w:line="240" w:lineRule="auto"/>
        <w:jc w:val="both"/>
        <w:rPr>
          <w:rFonts w:ascii="Arial" w:eastAsia="Times New Roman" w:hAnsi="Arial" w:cs="Arial"/>
          <w:color w:val="333333"/>
          <w:lang w:eastAsia="fr-CA"/>
        </w:rPr>
      </w:pPr>
    </w:p>
    <w:p w14:paraId="144909DB" w14:textId="77777777" w:rsidR="00B53B60" w:rsidRPr="00B53B60" w:rsidRDefault="001E1C44" w:rsidP="00DC3479">
      <w:pPr>
        <w:shd w:val="clear" w:color="auto" w:fill="FFFFFF"/>
        <w:spacing w:before="240" w:after="240" w:line="240" w:lineRule="auto"/>
        <w:jc w:val="both"/>
        <w:rPr>
          <w:rFonts w:ascii="Arial" w:eastAsia="Times New Roman" w:hAnsi="Arial" w:cs="Arial"/>
          <w:color w:val="333333"/>
          <w:lang w:eastAsia="fr-CA"/>
        </w:rPr>
      </w:pPr>
      <w:hyperlink r:id="rId9" w:history="1">
        <w:r w:rsidR="00B53B60" w:rsidRPr="00B53B60">
          <w:rPr>
            <w:rFonts w:ascii="Arial" w:eastAsia="Times New Roman" w:hAnsi="Arial" w:cs="Arial"/>
            <w:b/>
            <w:bCs/>
            <w:color w:val="000000"/>
            <w:sz w:val="24"/>
            <w:szCs w:val="24"/>
            <w:lang w:eastAsia="fr-CA"/>
          </w:rPr>
          <w:t>573.14.</w:t>
        </w:r>
      </w:hyperlink>
      <w:r w:rsidR="00B53B60" w:rsidRPr="00B53B60">
        <w:rPr>
          <w:rFonts w:ascii="Arial" w:eastAsia="Times New Roman" w:hAnsi="Arial" w:cs="Arial"/>
          <w:color w:val="333333"/>
          <w:lang w:eastAsia="fr-CA"/>
        </w:rPr>
        <w:t> Pour l’application de la présente section, on entend par «ombudsman» la personne nommée ou l’organisme créé, selon le cas, en vertu du premier alinéa de l’article 573.15.</w:t>
      </w:r>
    </w:p>
    <w:p w14:paraId="29D48754" w14:textId="77777777" w:rsidR="00B53B60" w:rsidRPr="00B53B60" w:rsidRDefault="001E1C44" w:rsidP="00DC3479">
      <w:pPr>
        <w:shd w:val="clear" w:color="auto" w:fill="FFFFFF"/>
        <w:spacing w:before="240" w:after="240" w:line="240" w:lineRule="auto"/>
        <w:jc w:val="both"/>
        <w:rPr>
          <w:rFonts w:ascii="Arial" w:eastAsia="Times New Roman" w:hAnsi="Arial" w:cs="Arial"/>
          <w:color w:val="333333"/>
          <w:lang w:eastAsia="fr-CA"/>
        </w:rPr>
      </w:pPr>
      <w:hyperlink r:id="rId10" w:history="1">
        <w:r w:rsidR="00B53B60" w:rsidRPr="00B53B60">
          <w:rPr>
            <w:rFonts w:ascii="Arial" w:eastAsia="Times New Roman" w:hAnsi="Arial" w:cs="Arial"/>
            <w:b/>
            <w:bCs/>
            <w:color w:val="000000"/>
            <w:sz w:val="24"/>
            <w:szCs w:val="24"/>
            <w:lang w:eastAsia="fr-CA"/>
          </w:rPr>
          <w:t>573.15.</w:t>
        </w:r>
      </w:hyperlink>
      <w:r w:rsidR="00B53B60" w:rsidRPr="00B53B60">
        <w:rPr>
          <w:rFonts w:ascii="Arial" w:eastAsia="Times New Roman" w:hAnsi="Arial" w:cs="Arial"/>
          <w:color w:val="333333"/>
          <w:lang w:eastAsia="fr-CA"/>
        </w:rPr>
        <w:t> Le conseil peut, par une résolution adoptée à la majorité des deux tiers des voix de ses membres, nommer une personne pour agir à titre d’ombudsman de la municipalité ou créer un organisme pour agir à ce titre et nommer les membres de celui-ci.</w:t>
      </w:r>
    </w:p>
    <w:p w14:paraId="59587283"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La résolution détermine, en outre de ce que prévoit la présente section, la durée du mandat et les droits, pouvoirs et obligations de la personne ou de l’organisme et des membres de celui-ci.</w:t>
      </w:r>
    </w:p>
    <w:p w14:paraId="312DF2FE"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Un vote à la majorité des deux tiers des voix des membres du conseil est requis pour que ce dernier destitue la personne, abolisse l’organisme ou destitue un des membres de celui-ci.</w:t>
      </w:r>
    </w:p>
    <w:p w14:paraId="3DEF5B73" w14:textId="77777777" w:rsidR="00B53B60" w:rsidRPr="00B53B60" w:rsidRDefault="001E1C44" w:rsidP="00DC3479">
      <w:pPr>
        <w:shd w:val="clear" w:color="auto" w:fill="FFFFFF"/>
        <w:spacing w:before="240" w:after="240" w:line="240" w:lineRule="auto"/>
        <w:jc w:val="both"/>
        <w:rPr>
          <w:rFonts w:ascii="Arial" w:eastAsia="Times New Roman" w:hAnsi="Arial" w:cs="Arial"/>
          <w:color w:val="333333"/>
          <w:lang w:eastAsia="fr-CA"/>
        </w:rPr>
      </w:pPr>
      <w:hyperlink r:id="rId11" w:history="1">
        <w:r w:rsidR="00B53B60" w:rsidRPr="00B53B60">
          <w:rPr>
            <w:rFonts w:ascii="Arial" w:eastAsia="Times New Roman" w:hAnsi="Arial" w:cs="Arial"/>
            <w:b/>
            <w:bCs/>
            <w:color w:val="000000"/>
            <w:sz w:val="24"/>
            <w:szCs w:val="24"/>
            <w:lang w:eastAsia="fr-CA"/>
          </w:rPr>
          <w:t>573.16.</w:t>
        </w:r>
      </w:hyperlink>
      <w:r w:rsidR="00B53B60" w:rsidRPr="00B53B60">
        <w:rPr>
          <w:rFonts w:ascii="Arial" w:eastAsia="Times New Roman" w:hAnsi="Arial" w:cs="Arial"/>
          <w:color w:val="333333"/>
          <w:lang w:eastAsia="fr-CA"/>
        </w:rPr>
        <w:t> Ne peut agir à titre d’ombudsman ou être membre d’un organisme créé pour agir à ce titre :</w:t>
      </w:r>
    </w:p>
    <w:p w14:paraId="2294254B"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1°  un membre du conseil ou d’un conseil d’arrondissement de la municipalité ;</w:t>
      </w:r>
    </w:p>
    <w:p w14:paraId="286771E8"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2°  l’associé d’un membre visé au paragraphe 1° ;</w:t>
      </w:r>
    </w:p>
    <w:p w14:paraId="2389ABF2"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3°  une personne qui a, par elle-même ou son associé, un intérêt direct ou indirect dans un contrat avec la municipalité.</w:t>
      </w:r>
    </w:p>
    <w:p w14:paraId="38623D70" w14:textId="1A474D53"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L’ombudsman doit divulguer, dans tout rapport qu’il produit, toute situation susceptible de mettre en conflit, d’une part, les responsabilités inhérentes à ses fonctions et, d’autre part, son intérêt personnel ou, s’il est un organisme, celui d’un de ses membres.</w:t>
      </w:r>
    </w:p>
    <w:p w14:paraId="644D2FF8" w14:textId="3EF253C6" w:rsidR="00B53B60" w:rsidRPr="00B53B60" w:rsidRDefault="001E1C44" w:rsidP="00DC3479">
      <w:pPr>
        <w:shd w:val="clear" w:color="auto" w:fill="FFFFFF"/>
        <w:spacing w:before="240" w:after="240" w:line="240" w:lineRule="auto"/>
        <w:jc w:val="both"/>
        <w:rPr>
          <w:rFonts w:ascii="Arial" w:eastAsia="Times New Roman" w:hAnsi="Arial" w:cs="Arial"/>
          <w:color w:val="333333"/>
          <w:lang w:eastAsia="fr-CA"/>
        </w:rPr>
      </w:pPr>
      <w:hyperlink r:id="rId12" w:history="1">
        <w:r w:rsidR="00B53B60" w:rsidRPr="00B53B60">
          <w:rPr>
            <w:rFonts w:ascii="Arial" w:eastAsia="Times New Roman" w:hAnsi="Arial" w:cs="Arial"/>
            <w:b/>
            <w:bCs/>
            <w:color w:val="000000"/>
            <w:sz w:val="24"/>
            <w:szCs w:val="24"/>
            <w:lang w:eastAsia="fr-CA"/>
          </w:rPr>
          <w:t>573.17.</w:t>
        </w:r>
      </w:hyperlink>
      <w:r w:rsidR="00B53B60" w:rsidRPr="00B53B60">
        <w:rPr>
          <w:rFonts w:ascii="Arial" w:eastAsia="Times New Roman" w:hAnsi="Arial" w:cs="Arial"/>
          <w:color w:val="333333"/>
          <w:lang w:eastAsia="fr-CA"/>
        </w:rPr>
        <w:t> Dans l’exercice de ses fonctions, l’ombudsman a le droit d’obtenir, de toute personne, tous les renseignements qu’il juge nécessaires.</w:t>
      </w:r>
    </w:p>
    <w:p w14:paraId="0036361B" w14:textId="77777777" w:rsidR="00B53B60" w:rsidRPr="00B53B60" w:rsidRDefault="001E1C44" w:rsidP="00DC3479">
      <w:pPr>
        <w:shd w:val="clear" w:color="auto" w:fill="FFFFFF"/>
        <w:spacing w:before="240" w:after="240" w:line="240" w:lineRule="auto"/>
        <w:jc w:val="both"/>
        <w:rPr>
          <w:rFonts w:ascii="Arial" w:eastAsia="Times New Roman" w:hAnsi="Arial" w:cs="Arial"/>
          <w:color w:val="333333"/>
          <w:lang w:eastAsia="fr-CA"/>
        </w:rPr>
      </w:pPr>
      <w:hyperlink r:id="rId13" w:history="1">
        <w:r w:rsidR="00B53B60" w:rsidRPr="00B53B60">
          <w:rPr>
            <w:rFonts w:ascii="Arial" w:eastAsia="Times New Roman" w:hAnsi="Arial" w:cs="Arial"/>
            <w:b/>
            <w:bCs/>
            <w:color w:val="000000"/>
            <w:sz w:val="24"/>
            <w:szCs w:val="24"/>
            <w:lang w:eastAsia="fr-CA"/>
          </w:rPr>
          <w:t>573.18.</w:t>
        </w:r>
      </w:hyperlink>
      <w:r w:rsidR="00B53B60" w:rsidRPr="00B53B60">
        <w:rPr>
          <w:rFonts w:ascii="Arial" w:eastAsia="Times New Roman" w:hAnsi="Arial" w:cs="Arial"/>
          <w:color w:val="333333"/>
          <w:lang w:eastAsia="fr-CA"/>
        </w:rPr>
        <w:t> L’ombudsman doit transmettre annuellement au conseil un rapport portant sur l’exercice de ses fonctions.</w:t>
      </w:r>
    </w:p>
    <w:p w14:paraId="3AC66AB2"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Aucune action civile ne peut être intentée en raison de la transmission de ce rapport.</w:t>
      </w:r>
    </w:p>
    <w:p w14:paraId="149D117E" w14:textId="77777777" w:rsidR="00B53B60" w:rsidRPr="00B53B60" w:rsidRDefault="001E1C44" w:rsidP="00DC3479">
      <w:pPr>
        <w:shd w:val="clear" w:color="auto" w:fill="FFFFFF"/>
        <w:spacing w:before="240" w:after="240" w:line="240" w:lineRule="auto"/>
        <w:jc w:val="both"/>
        <w:rPr>
          <w:rFonts w:ascii="Arial" w:eastAsia="Times New Roman" w:hAnsi="Arial" w:cs="Arial"/>
          <w:color w:val="333333"/>
          <w:lang w:eastAsia="fr-CA"/>
        </w:rPr>
      </w:pPr>
      <w:hyperlink r:id="rId14" w:history="1">
        <w:r w:rsidR="00B53B60" w:rsidRPr="00B53B60">
          <w:rPr>
            <w:rFonts w:ascii="Arial" w:eastAsia="Times New Roman" w:hAnsi="Arial" w:cs="Arial"/>
            <w:b/>
            <w:bCs/>
            <w:color w:val="000000"/>
            <w:sz w:val="24"/>
            <w:szCs w:val="24"/>
            <w:lang w:eastAsia="fr-CA"/>
          </w:rPr>
          <w:t>573.19.</w:t>
        </w:r>
      </w:hyperlink>
      <w:r w:rsidR="00B53B60" w:rsidRPr="00B53B60">
        <w:rPr>
          <w:rFonts w:ascii="Arial" w:eastAsia="Times New Roman" w:hAnsi="Arial" w:cs="Arial"/>
          <w:color w:val="333333"/>
          <w:lang w:eastAsia="fr-CA"/>
        </w:rPr>
        <w:t> Malgré toute loi générale ou spéciale, l’ombudsman, ses membres s’il est un organisme, les membres de son personnel et les experts dont il retient les services ne peuvent être contraints de faire une déposition ayant trait à un renseignement obtenu dans l’exercice de leurs fonctions ou de produire un document contenant un tel renseignement.</w:t>
      </w:r>
    </w:p>
    <w:p w14:paraId="400E56DF" w14:textId="171CE4A1"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Malgré l’article 9 de la Loi sur l’accès aux documents des organismes publics et sur la protection des renseignements personnels (</w:t>
      </w:r>
      <w:hyperlink r:id="rId15" w:tgtFrame="_blank" w:history="1">
        <w:r w:rsidRPr="00B53B60">
          <w:rPr>
            <w:rFonts w:ascii="Arial" w:eastAsia="Times New Roman" w:hAnsi="Arial" w:cs="Arial"/>
            <w:color w:val="375D9D"/>
            <w:lang w:eastAsia="fr-CA"/>
          </w:rPr>
          <w:t>chapitre A-2.1</w:t>
        </w:r>
      </w:hyperlink>
      <w:r w:rsidRPr="00B53B60">
        <w:rPr>
          <w:rFonts w:ascii="Arial" w:eastAsia="Times New Roman" w:hAnsi="Arial" w:cs="Arial"/>
          <w:color w:val="333333"/>
          <w:lang w:eastAsia="fr-CA"/>
        </w:rPr>
        <w:t>), nul n’a droit d’accès à un tel document.</w:t>
      </w:r>
    </w:p>
    <w:p w14:paraId="012772AC" w14:textId="77777777" w:rsidR="00B53B60" w:rsidRPr="00B53B60" w:rsidRDefault="001E1C44" w:rsidP="00DC3479">
      <w:pPr>
        <w:shd w:val="clear" w:color="auto" w:fill="FFFFFF"/>
        <w:spacing w:before="240" w:after="240" w:line="240" w:lineRule="auto"/>
        <w:jc w:val="both"/>
        <w:rPr>
          <w:rFonts w:ascii="Arial" w:eastAsia="Times New Roman" w:hAnsi="Arial" w:cs="Arial"/>
          <w:color w:val="333333"/>
          <w:lang w:eastAsia="fr-CA"/>
        </w:rPr>
      </w:pPr>
      <w:hyperlink r:id="rId16" w:history="1">
        <w:r w:rsidR="00B53B60" w:rsidRPr="00B53B60">
          <w:rPr>
            <w:rFonts w:ascii="Arial" w:eastAsia="Times New Roman" w:hAnsi="Arial" w:cs="Arial"/>
            <w:b/>
            <w:bCs/>
            <w:color w:val="000000"/>
            <w:sz w:val="24"/>
            <w:szCs w:val="24"/>
            <w:lang w:eastAsia="fr-CA"/>
          </w:rPr>
          <w:t>573.20.</w:t>
        </w:r>
      </w:hyperlink>
      <w:r w:rsidR="00B53B60" w:rsidRPr="00B53B60">
        <w:rPr>
          <w:rFonts w:ascii="Arial" w:eastAsia="Times New Roman" w:hAnsi="Arial" w:cs="Arial"/>
          <w:color w:val="333333"/>
          <w:lang w:eastAsia="fr-CA"/>
        </w:rPr>
        <w:t> L’ombudsman, ses membres s’il est un organisme et les membres de son personnel ne peuvent être poursuivis en justice pour avoir, de bonne foi et dans l’exercice de leurs fonctions, accompli un acte ou omis de le faire.</w:t>
      </w:r>
    </w:p>
    <w:p w14:paraId="6166D2CD"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Sauf sur une question de compétence, aucun pourvoi en contrôle judiciaire prévu au Code de procédure civile (</w:t>
      </w:r>
      <w:hyperlink r:id="rId17" w:tgtFrame="_blank" w:history="1">
        <w:r w:rsidRPr="00B53B60">
          <w:rPr>
            <w:rFonts w:ascii="Arial" w:eastAsia="Times New Roman" w:hAnsi="Arial" w:cs="Arial"/>
            <w:color w:val="375D9D"/>
            <w:lang w:eastAsia="fr-CA"/>
          </w:rPr>
          <w:t>chapitre C-25.01</w:t>
        </w:r>
      </w:hyperlink>
      <w:r w:rsidRPr="00B53B60">
        <w:rPr>
          <w:rFonts w:ascii="Arial" w:eastAsia="Times New Roman" w:hAnsi="Arial" w:cs="Arial"/>
          <w:color w:val="333333"/>
          <w:lang w:eastAsia="fr-CA"/>
        </w:rPr>
        <w:t>) ne peut être exercé ni aucune injonction accordée contre l’ombudsman, ses membres s’il est un organisme, les membres de son personnel ou les experts dont il retient les services lorsqu’ils agissent en leur qualité officielle.</w:t>
      </w:r>
    </w:p>
    <w:p w14:paraId="40B1E3A8" w14:textId="77777777" w:rsidR="00B53B60" w:rsidRPr="00B53B60" w:rsidRDefault="00B53B60" w:rsidP="00DC3479">
      <w:pPr>
        <w:shd w:val="clear" w:color="auto" w:fill="FFFFFF"/>
        <w:spacing w:before="240" w:after="240" w:line="240" w:lineRule="auto"/>
        <w:jc w:val="both"/>
        <w:rPr>
          <w:rFonts w:ascii="Arial" w:eastAsia="Times New Roman" w:hAnsi="Arial" w:cs="Arial"/>
          <w:color w:val="333333"/>
          <w:lang w:eastAsia="fr-CA"/>
        </w:rPr>
      </w:pPr>
      <w:r w:rsidRPr="00B53B60">
        <w:rPr>
          <w:rFonts w:ascii="Arial" w:eastAsia="Times New Roman" w:hAnsi="Arial" w:cs="Arial"/>
          <w:color w:val="333333"/>
          <w:lang w:eastAsia="fr-CA"/>
        </w:rPr>
        <w:t>Un juge de la Cour d’appel peut, sur demande, annuler sommairement toute procédure entreprise ou décision rendue à l’encontre du premier ou du deuxième alinéa.</w:t>
      </w:r>
    </w:p>
    <w:p w14:paraId="0545846B" w14:textId="576D4C81" w:rsidR="00EB3EBB" w:rsidRPr="00B53B60" w:rsidRDefault="00EB3EBB" w:rsidP="00DC3479">
      <w:pPr>
        <w:shd w:val="clear" w:color="auto" w:fill="FFFFFF"/>
        <w:spacing w:before="240" w:after="240" w:line="240" w:lineRule="auto"/>
        <w:jc w:val="both"/>
        <w:rPr>
          <w:rFonts w:ascii="Arial" w:eastAsia="Times New Roman" w:hAnsi="Arial" w:cs="Arial"/>
          <w:color w:val="333333"/>
          <w:sz w:val="18"/>
          <w:szCs w:val="18"/>
          <w:lang w:eastAsia="fr-CA"/>
        </w:rPr>
      </w:pPr>
    </w:p>
    <w:sectPr w:rsidR="00EB3EBB" w:rsidRPr="00B53B60">
      <w:footerReference w:type="defaul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E2B7F" w14:textId="77777777" w:rsidR="00F16140" w:rsidRDefault="00F16140" w:rsidP="00EB3EBB">
      <w:pPr>
        <w:spacing w:after="0" w:line="240" w:lineRule="auto"/>
      </w:pPr>
      <w:r>
        <w:separator/>
      </w:r>
    </w:p>
  </w:endnote>
  <w:endnote w:type="continuationSeparator" w:id="0">
    <w:p w14:paraId="0E31B932" w14:textId="77777777" w:rsidR="00F16140" w:rsidRDefault="00F16140" w:rsidP="00EB3EBB">
      <w:pPr>
        <w:spacing w:after="0" w:line="240" w:lineRule="auto"/>
      </w:pPr>
      <w:r>
        <w:continuationSeparator/>
      </w:r>
    </w:p>
  </w:endnote>
  <w:endnote w:id="1">
    <w:p w14:paraId="628BDC17" w14:textId="77F3B273" w:rsidR="00777FEB" w:rsidRPr="00777FEB" w:rsidRDefault="00EB3EBB" w:rsidP="00777FEB">
      <w:pPr>
        <w:spacing w:before="120" w:after="120" w:line="240" w:lineRule="auto"/>
      </w:pPr>
      <w:r>
        <w:rPr>
          <w:rStyle w:val="Appeldenotedefin"/>
        </w:rPr>
        <w:endnoteRef/>
      </w:r>
      <w:r>
        <w:t xml:space="preserve"> </w:t>
      </w:r>
      <w:r w:rsidR="00777FEB" w:rsidRPr="00777FEB">
        <w:rPr>
          <w:i/>
          <w:iCs/>
        </w:rPr>
        <w:t>Loi sur les cités et villes</w:t>
      </w:r>
      <w:r w:rsidR="00777FEB" w:rsidRPr="00777FEB">
        <w:t>, RLRQ c C-19</w:t>
      </w:r>
      <w:r w:rsidR="00777FEB">
        <w:t>, à jour au 1</w:t>
      </w:r>
      <w:r w:rsidR="00777FEB" w:rsidRPr="00777FEB">
        <w:rPr>
          <w:vertAlign w:val="superscript"/>
        </w:rPr>
        <w:t>er</w:t>
      </w:r>
      <w:r w:rsidR="00777FEB">
        <w:t xml:space="preserve"> février 2020.</w:t>
      </w:r>
    </w:p>
    <w:p w14:paraId="246AF38E" w14:textId="2A8740F6" w:rsidR="00EB3EBB" w:rsidRDefault="00EB3EBB" w:rsidP="00EB3EBB">
      <w:pPr>
        <w:spacing w:before="120" w:after="120" w:line="240" w:lineRule="auto"/>
      </w:pPr>
      <w:bookmarkStart w:id="0" w:name="_GoBack"/>
      <w:bookmarkEnd w:id="0"/>
    </w:p>
    <w:p w14:paraId="360E59F7" w14:textId="77777777" w:rsidR="00EB3EBB" w:rsidRDefault="00EB3EBB">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254F" w14:textId="13DBA002" w:rsidR="00D82C0D" w:rsidRDefault="00D82C0D">
    <w:pPr>
      <w:pStyle w:val="Pieddepage"/>
    </w:pPr>
    <w:r>
      <w:t xml:space="preserve">p. </w:t>
    </w:r>
    <w:sdt>
      <w:sdtPr>
        <w:id w:val="-656529139"/>
        <w:docPartObj>
          <w:docPartGallery w:val="Page Numbers (Bottom of Page)"/>
          <w:docPartUnique/>
        </w:docPartObj>
      </w:sdtPr>
      <w:sdtEndPr/>
      <w:sdtContent>
        <w:r>
          <w:fldChar w:fldCharType="begin"/>
        </w:r>
        <w:r>
          <w:instrText>PAGE   \* MERGEFORMAT</w:instrText>
        </w:r>
        <w:r>
          <w:fldChar w:fldCharType="separate"/>
        </w:r>
        <w:r w:rsidR="00850311" w:rsidRPr="00850311">
          <w:rPr>
            <w:noProof/>
            <w:lang w:val="fr-FR"/>
          </w:rPr>
          <w:t>1</w:t>
        </w:r>
        <w:r>
          <w:fldChar w:fldCharType="end"/>
        </w:r>
      </w:sdtContent>
    </w:sdt>
  </w:p>
  <w:p w14:paraId="10F9CC61" w14:textId="0FD71CCA" w:rsidR="00B53B60" w:rsidRDefault="00B53B60" w:rsidP="005B0C54">
    <w:pPr>
      <w:pStyle w:val="Pieddepage"/>
      <w:tabs>
        <w:tab w:val="clear" w:pos="4320"/>
        <w:tab w:val="clear" w:pos="8640"/>
        <w:tab w:val="left" w:pos="117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EA0E6" w14:textId="77777777" w:rsidR="00F16140" w:rsidRDefault="00F16140" w:rsidP="00EB3EBB">
      <w:pPr>
        <w:spacing w:after="0" w:line="240" w:lineRule="auto"/>
      </w:pPr>
      <w:r>
        <w:separator/>
      </w:r>
    </w:p>
  </w:footnote>
  <w:footnote w:type="continuationSeparator" w:id="0">
    <w:p w14:paraId="005CF3CE" w14:textId="77777777" w:rsidR="00F16140" w:rsidRDefault="00F16140" w:rsidP="00EB3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4ixJxb7sjEjrKbfeRBxlldnhyI=" w:salt="yRAcsB2M+YDAFwFH0Ahfh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23"/>
    <w:rsid w:val="001824C1"/>
    <w:rsid w:val="001C4005"/>
    <w:rsid w:val="00533228"/>
    <w:rsid w:val="005757D7"/>
    <w:rsid w:val="005B0C54"/>
    <w:rsid w:val="0065236B"/>
    <w:rsid w:val="00777FEB"/>
    <w:rsid w:val="0083418B"/>
    <w:rsid w:val="00850311"/>
    <w:rsid w:val="009A4C4C"/>
    <w:rsid w:val="009C2DAB"/>
    <w:rsid w:val="00AC0657"/>
    <w:rsid w:val="00B53B60"/>
    <w:rsid w:val="00BA5372"/>
    <w:rsid w:val="00BB2A23"/>
    <w:rsid w:val="00C2695C"/>
    <w:rsid w:val="00D26EFE"/>
    <w:rsid w:val="00D82C0D"/>
    <w:rsid w:val="00DC3479"/>
    <w:rsid w:val="00E80579"/>
    <w:rsid w:val="00EB3EBB"/>
    <w:rsid w:val="00F161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8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777F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B3E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3EBB"/>
    <w:rPr>
      <w:sz w:val="20"/>
      <w:szCs w:val="20"/>
    </w:rPr>
  </w:style>
  <w:style w:type="character" w:styleId="Appelnotedebasdep">
    <w:name w:val="footnote reference"/>
    <w:basedOn w:val="Policepardfaut"/>
    <w:uiPriority w:val="99"/>
    <w:semiHidden/>
    <w:unhideWhenUsed/>
    <w:rsid w:val="00EB3EBB"/>
    <w:rPr>
      <w:vertAlign w:val="superscript"/>
    </w:rPr>
  </w:style>
  <w:style w:type="paragraph" w:styleId="Notedefin">
    <w:name w:val="endnote text"/>
    <w:basedOn w:val="Normal"/>
    <w:link w:val="NotedefinCar"/>
    <w:uiPriority w:val="99"/>
    <w:semiHidden/>
    <w:unhideWhenUsed/>
    <w:rsid w:val="00EB3EBB"/>
    <w:pPr>
      <w:spacing w:after="0" w:line="240" w:lineRule="auto"/>
    </w:pPr>
    <w:rPr>
      <w:sz w:val="20"/>
      <w:szCs w:val="20"/>
    </w:rPr>
  </w:style>
  <w:style w:type="character" w:customStyle="1" w:styleId="NotedefinCar">
    <w:name w:val="Note de fin Car"/>
    <w:basedOn w:val="Policepardfaut"/>
    <w:link w:val="Notedefin"/>
    <w:uiPriority w:val="99"/>
    <w:semiHidden/>
    <w:rsid w:val="00EB3EBB"/>
    <w:rPr>
      <w:sz w:val="20"/>
      <w:szCs w:val="20"/>
    </w:rPr>
  </w:style>
  <w:style w:type="character" w:styleId="Appeldenotedefin">
    <w:name w:val="endnote reference"/>
    <w:basedOn w:val="Policepardfaut"/>
    <w:uiPriority w:val="99"/>
    <w:semiHidden/>
    <w:unhideWhenUsed/>
    <w:rsid w:val="00EB3EBB"/>
    <w:rPr>
      <w:vertAlign w:val="superscript"/>
    </w:rPr>
  </w:style>
  <w:style w:type="character" w:customStyle="1" w:styleId="Titre2Car">
    <w:name w:val="Titre 2 Car"/>
    <w:basedOn w:val="Policepardfaut"/>
    <w:link w:val="Titre2"/>
    <w:uiPriority w:val="9"/>
    <w:semiHidden/>
    <w:rsid w:val="00777FEB"/>
    <w:rPr>
      <w:rFonts w:asciiTheme="majorHAnsi" w:eastAsiaTheme="majorEastAsia" w:hAnsiTheme="majorHAnsi" w:cstheme="majorBidi"/>
      <w:color w:val="365F91" w:themeColor="accent1" w:themeShade="BF"/>
      <w:sz w:val="26"/>
      <w:szCs w:val="26"/>
    </w:rPr>
  </w:style>
  <w:style w:type="paragraph" w:styleId="Textedebulles">
    <w:name w:val="Balloon Text"/>
    <w:basedOn w:val="Normal"/>
    <w:link w:val="TextedebullesCar"/>
    <w:uiPriority w:val="99"/>
    <w:semiHidden/>
    <w:unhideWhenUsed/>
    <w:rsid w:val="00B53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B60"/>
    <w:rPr>
      <w:rFonts w:ascii="Tahoma" w:hAnsi="Tahoma" w:cs="Tahoma"/>
      <w:sz w:val="16"/>
      <w:szCs w:val="16"/>
    </w:rPr>
  </w:style>
  <w:style w:type="paragraph" w:styleId="En-tte">
    <w:name w:val="header"/>
    <w:basedOn w:val="Normal"/>
    <w:link w:val="En-tteCar"/>
    <w:uiPriority w:val="99"/>
    <w:unhideWhenUsed/>
    <w:rsid w:val="00B53B60"/>
    <w:pPr>
      <w:tabs>
        <w:tab w:val="center" w:pos="4320"/>
        <w:tab w:val="right" w:pos="8640"/>
      </w:tabs>
      <w:spacing w:after="0" w:line="240" w:lineRule="auto"/>
    </w:pPr>
  </w:style>
  <w:style w:type="character" w:customStyle="1" w:styleId="En-tteCar">
    <w:name w:val="En-tête Car"/>
    <w:basedOn w:val="Policepardfaut"/>
    <w:link w:val="En-tte"/>
    <w:uiPriority w:val="99"/>
    <w:rsid w:val="00B53B60"/>
  </w:style>
  <w:style w:type="paragraph" w:styleId="Pieddepage">
    <w:name w:val="footer"/>
    <w:basedOn w:val="Normal"/>
    <w:link w:val="PieddepageCar"/>
    <w:uiPriority w:val="99"/>
    <w:unhideWhenUsed/>
    <w:rsid w:val="00B53B6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3B60"/>
  </w:style>
  <w:style w:type="character" w:styleId="Lienhypertexte">
    <w:name w:val="Hyperlink"/>
    <w:basedOn w:val="Policepardfaut"/>
    <w:uiPriority w:val="99"/>
    <w:unhideWhenUsed/>
    <w:rsid w:val="00D26E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777F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B3E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3EBB"/>
    <w:rPr>
      <w:sz w:val="20"/>
      <w:szCs w:val="20"/>
    </w:rPr>
  </w:style>
  <w:style w:type="character" w:styleId="Appelnotedebasdep">
    <w:name w:val="footnote reference"/>
    <w:basedOn w:val="Policepardfaut"/>
    <w:uiPriority w:val="99"/>
    <w:semiHidden/>
    <w:unhideWhenUsed/>
    <w:rsid w:val="00EB3EBB"/>
    <w:rPr>
      <w:vertAlign w:val="superscript"/>
    </w:rPr>
  </w:style>
  <w:style w:type="paragraph" w:styleId="Notedefin">
    <w:name w:val="endnote text"/>
    <w:basedOn w:val="Normal"/>
    <w:link w:val="NotedefinCar"/>
    <w:uiPriority w:val="99"/>
    <w:semiHidden/>
    <w:unhideWhenUsed/>
    <w:rsid w:val="00EB3EBB"/>
    <w:pPr>
      <w:spacing w:after="0" w:line="240" w:lineRule="auto"/>
    </w:pPr>
    <w:rPr>
      <w:sz w:val="20"/>
      <w:szCs w:val="20"/>
    </w:rPr>
  </w:style>
  <w:style w:type="character" w:customStyle="1" w:styleId="NotedefinCar">
    <w:name w:val="Note de fin Car"/>
    <w:basedOn w:val="Policepardfaut"/>
    <w:link w:val="Notedefin"/>
    <w:uiPriority w:val="99"/>
    <w:semiHidden/>
    <w:rsid w:val="00EB3EBB"/>
    <w:rPr>
      <w:sz w:val="20"/>
      <w:szCs w:val="20"/>
    </w:rPr>
  </w:style>
  <w:style w:type="character" w:styleId="Appeldenotedefin">
    <w:name w:val="endnote reference"/>
    <w:basedOn w:val="Policepardfaut"/>
    <w:uiPriority w:val="99"/>
    <w:semiHidden/>
    <w:unhideWhenUsed/>
    <w:rsid w:val="00EB3EBB"/>
    <w:rPr>
      <w:vertAlign w:val="superscript"/>
    </w:rPr>
  </w:style>
  <w:style w:type="character" w:customStyle="1" w:styleId="Titre2Car">
    <w:name w:val="Titre 2 Car"/>
    <w:basedOn w:val="Policepardfaut"/>
    <w:link w:val="Titre2"/>
    <w:uiPriority w:val="9"/>
    <w:semiHidden/>
    <w:rsid w:val="00777FEB"/>
    <w:rPr>
      <w:rFonts w:asciiTheme="majorHAnsi" w:eastAsiaTheme="majorEastAsia" w:hAnsiTheme="majorHAnsi" w:cstheme="majorBidi"/>
      <w:color w:val="365F91" w:themeColor="accent1" w:themeShade="BF"/>
      <w:sz w:val="26"/>
      <w:szCs w:val="26"/>
    </w:rPr>
  </w:style>
  <w:style w:type="paragraph" w:styleId="Textedebulles">
    <w:name w:val="Balloon Text"/>
    <w:basedOn w:val="Normal"/>
    <w:link w:val="TextedebullesCar"/>
    <w:uiPriority w:val="99"/>
    <w:semiHidden/>
    <w:unhideWhenUsed/>
    <w:rsid w:val="00B53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B60"/>
    <w:rPr>
      <w:rFonts w:ascii="Tahoma" w:hAnsi="Tahoma" w:cs="Tahoma"/>
      <w:sz w:val="16"/>
      <w:szCs w:val="16"/>
    </w:rPr>
  </w:style>
  <w:style w:type="paragraph" w:styleId="En-tte">
    <w:name w:val="header"/>
    <w:basedOn w:val="Normal"/>
    <w:link w:val="En-tteCar"/>
    <w:uiPriority w:val="99"/>
    <w:unhideWhenUsed/>
    <w:rsid w:val="00B53B60"/>
    <w:pPr>
      <w:tabs>
        <w:tab w:val="center" w:pos="4320"/>
        <w:tab w:val="right" w:pos="8640"/>
      </w:tabs>
      <w:spacing w:after="0" w:line="240" w:lineRule="auto"/>
    </w:pPr>
  </w:style>
  <w:style w:type="character" w:customStyle="1" w:styleId="En-tteCar">
    <w:name w:val="En-tête Car"/>
    <w:basedOn w:val="Policepardfaut"/>
    <w:link w:val="En-tte"/>
    <w:uiPriority w:val="99"/>
    <w:rsid w:val="00B53B60"/>
  </w:style>
  <w:style w:type="paragraph" w:styleId="Pieddepage">
    <w:name w:val="footer"/>
    <w:basedOn w:val="Normal"/>
    <w:link w:val="PieddepageCar"/>
    <w:uiPriority w:val="99"/>
    <w:unhideWhenUsed/>
    <w:rsid w:val="00B53B6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3B60"/>
  </w:style>
  <w:style w:type="character" w:styleId="Lienhypertexte">
    <w:name w:val="Hyperlink"/>
    <w:basedOn w:val="Policepardfaut"/>
    <w:uiPriority w:val="99"/>
    <w:unhideWhenUsed/>
    <w:rsid w:val="00D26E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66041">
      <w:bodyDiv w:val="1"/>
      <w:marLeft w:val="0"/>
      <w:marRight w:val="0"/>
      <w:marTop w:val="0"/>
      <w:marBottom w:val="0"/>
      <w:divBdr>
        <w:top w:val="none" w:sz="0" w:space="0" w:color="auto"/>
        <w:left w:val="none" w:sz="0" w:space="0" w:color="auto"/>
        <w:bottom w:val="none" w:sz="0" w:space="0" w:color="auto"/>
        <w:right w:val="none" w:sz="0" w:space="0" w:color="auto"/>
      </w:divBdr>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860318838">
      <w:bodyDiv w:val="1"/>
      <w:marLeft w:val="0"/>
      <w:marRight w:val="0"/>
      <w:marTop w:val="0"/>
      <w:marBottom w:val="0"/>
      <w:divBdr>
        <w:top w:val="none" w:sz="0" w:space="0" w:color="auto"/>
        <w:left w:val="none" w:sz="0" w:space="0" w:color="auto"/>
        <w:bottom w:val="none" w:sz="0" w:space="0" w:color="auto"/>
        <w:right w:val="none" w:sz="0" w:space="0" w:color="auto"/>
      </w:divBdr>
      <w:divsChild>
        <w:div w:id="1121413201">
          <w:marLeft w:val="0"/>
          <w:marRight w:val="0"/>
          <w:marTop w:val="0"/>
          <w:marBottom w:val="0"/>
          <w:divBdr>
            <w:top w:val="none" w:sz="0" w:space="0" w:color="auto"/>
            <w:left w:val="none" w:sz="0" w:space="0" w:color="auto"/>
            <w:bottom w:val="none" w:sz="0" w:space="0" w:color="auto"/>
            <w:right w:val="none" w:sz="0" w:space="0" w:color="auto"/>
          </w:divBdr>
          <w:divsChild>
            <w:div w:id="1884436389">
              <w:marLeft w:val="-405"/>
              <w:marRight w:val="-75"/>
              <w:marTop w:val="280"/>
              <w:marBottom w:val="0"/>
              <w:divBdr>
                <w:top w:val="none" w:sz="0" w:space="0" w:color="auto"/>
                <w:left w:val="single" w:sz="12" w:space="19" w:color="337AB7"/>
                <w:bottom w:val="none" w:sz="0" w:space="0" w:color="auto"/>
                <w:right w:val="none" w:sz="0" w:space="0" w:color="auto"/>
              </w:divBdr>
              <w:divsChild>
                <w:div w:id="1468891083">
                  <w:marLeft w:val="0"/>
                  <w:marRight w:val="0"/>
                  <w:marTop w:val="0"/>
                  <w:marBottom w:val="220"/>
                  <w:divBdr>
                    <w:top w:val="none" w:sz="0" w:space="0" w:color="auto"/>
                    <w:left w:val="none" w:sz="0" w:space="0" w:color="auto"/>
                    <w:bottom w:val="none" w:sz="0" w:space="0" w:color="auto"/>
                    <w:right w:val="none" w:sz="0" w:space="0" w:color="auto"/>
                  </w:divBdr>
                </w:div>
                <w:div w:id="1015427398">
                  <w:marLeft w:val="0"/>
                  <w:marRight w:val="0"/>
                  <w:marTop w:val="240"/>
                  <w:marBottom w:val="0"/>
                  <w:divBdr>
                    <w:top w:val="none" w:sz="0" w:space="0" w:color="auto"/>
                    <w:left w:val="none" w:sz="0" w:space="0" w:color="auto"/>
                    <w:bottom w:val="none" w:sz="0" w:space="0" w:color="auto"/>
                    <w:right w:val="none" w:sz="0" w:space="0" w:color="auto"/>
                  </w:divBdr>
                </w:div>
              </w:divsChild>
            </w:div>
            <w:div w:id="1967931704">
              <w:marLeft w:val="0"/>
              <w:marRight w:val="0"/>
              <w:marTop w:val="219"/>
              <w:marBottom w:val="0"/>
              <w:divBdr>
                <w:top w:val="none" w:sz="0" w:space="0" w:color="auto"/>
                <w:left w:val="none" w:sz="0" w:space="0" w:color="auto"/>
                <w:bottom w:val="none" w:sz="0" w:space="0" w:color="auto"/>
                <w:right w:val="none" w:sz="0" w:space="0" w:color="auto"/>
              </w:divBdr>
              <w:divsChild>
                <w:div w:id="2111585037">
                  <w:marLeft w:val="0"/>
                  <w:marRight w:val="0"/>
                  <w:marTop w:val="219"/>
                  <w:marBottom w:val="240"/>
                  <w:divBdr>
                    <w:top w:val="none" w:sz="0" w:space="0" w:color="auto"/>
                    <w:left w:val="none" w:sz="0" w:space="0" w:color="auto"/>
                    <w:bottom w:val="none" w:sz="0" w:space="0" w:color="auto"/>
                    <w:right w:val="none" w:sz="0" w:space="0" w:color="auto"/>
                  </w:divBdr>
                  <w:divsChild>
                    <w:div w:id="1761560501">
                      <w:marLeft w:val="0"/>
                      <w:marRight w:val="0"/>
                      <w:marTop w:val="120"/>
                      <w:marBottom w:val="0"/>
                      <w:divBdr>
                        <w:top w:val="none" w:sz="0" w:space="0" w:color="auto"/>
                        <w:left w:val="none" w:sz="0" w:space="0" w:color="auto"/>
                        <w:bottom w:val="none" w:sz="0" w:space="0" w:color="auto"/>
                        <w:right w:val="none" w:sz="0" w:space="0" w:color="auto"/>
                      </w:divBdr>
                      <w:divsChild>
                        <w:div w:id="13645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5362">
                  <w:marLeft w:val="0"/>
                  <w:marRight w:val="0"/>
                  <w:marTop w:val="240"/>
                  <w:marBottom w:val="0"/>
                  <w:divBdr>
                    <w:top w:val="none" w:sz="0" w:space="0" w:color="auto"/>
                    <w:left w:val="none" w:sz="0" w:space="0" w:color="auto"/>
                    <w:bottom w:val="none" w:sz="0" w:space="0" w:color="auto"/>
                    <w:right w:val="none" w:sz="0" w:space="0" w:color="auto"/>
                  </w:divBdr>
                </w:div>
              </w:divsChild>
            </w:div>
            <w:div w:id="131139147">
              <w:marLeft w:val="0"/>
              <w:marRight w:val="0"/>
              <w:marTop w:val="219"/>
              <w:marBottom w:val="0"/>
              <w:divBdr>
                <w:top w:val="none" w:sz="0" w:space="0" w:color="auto"/>
                <w:left w:val="none" w:sz="0" w:space="0" w:color="auto"/>
                <w:bottom w:val="none" w:sz="0" w:space="0" w:color="auto"/>
                <w:right w:val="none" w:sz="0" w:space="0" w:color="auto"/>
              </w:divBdr>
              <w:divsChild>
                <w:div w:id="1692294425">
                  <w:marLeft w:val="0"/>
                  <w:marRight w:val="0"/>
                  <w:marTop w:val="219"/>
                  <w:marBottom w:val="240"/>
                  <w:divBdr>
                    <w:top w:val="none" w:sz="0" w:space="0" w:color="auto"/>
                    <w:left w:val="none" w:sz="0" w:space="0" w:color="auto"/>
                    <w:bottom w:val="none" w:sz="0" w:space="0" w:color="auto"/>
                    <w:right w:val="none" w:sz="0" w:space="0" w:color="auto"/>
                  </w:divBdr>
                  <w:divsChild>
                    <w:div w:id="776221642">
                      <w:marLeft w:val="0"/>
                      <w:marRight w:val="0"/>
                      <w:marTop w:val="0"/>
                      <w:marBottom w:val="0"/>
                      <w:divBdr>
                        <w:top w:val="none" w:sz="0" w:space="0" w:color="auto"/>
                        <w:left w:val="none" w:sz="0" w:space="0" w:color="auto"/>
                        <w:bottom w:val="none" w:sz="0" w:space="0" w:color="auto"/>
                        <w:right w:val="none" w:sz="0" w:space="0" w:color="auto"/>
                      </w:divBdr>
                    </w:div>
                  </w:divsChild>
                </w:div>
                <w:div w:id="897787495">
                  <w:marLeft w:val="0"/>
                  <w:marRight w:val="0"/>
                  <w:marTop w:val="260"/>
                  <w:marBottom w:val="240"/>
                  <w:divBdr>
                    <w:top w:val="none" w:sz="0" w:space="0" w:color="auto"/>
                    <w:left w:val="none" w:sz="0" w:space="0" w:color="auto"/>
                    <w:bottom w:val="none" w:sz="0" w:space="0" w:color="auto"/>
                    <w:right w:val="none" w:sz="0" w:space="0" w:color="auto"/>
                  </w:divBdr>
                </w:div>
                <w:div w:id="1143811975">
                  <w:marLeft w:val="0"/>
                  <w:marRight w:val="0"/>
                  <w:marTop w:val="260"/>
                  <w:marBottom w:val="240"/>
                  <w:divBdr>
                    <w:top w:val="none" w:sz="0" w:space="0" w:color="auto"/>
                    <w:left w:val="none" w:sz="0" w:space="0" w:color="auto"/>
                    <w:bottom w:val="none" w:sz="0" w:space="0" w:color="auto"/>
                    <w:right w:val="none" w:sz="0" w:space="0" w:color="auto"/>
                  </w:divBdr>
                </w:div>
                <w:div w:id="1681396754">
                  <w:marLeft w:val="0"/>
                  <w:marRight w:val="0"/>
                  <w:marTop w:val="240"/>
                  <w:marBottom w:val="0"/>
                  <w:divBdr>
                    <w:top w:val="none" w:sz="0" w:space="0" w:color="auto"/>
                    <w:left w:val="none" w:sz="0" w:space="0" w:color="auto"/>
                    <w:bottom w:val="none" w:sz="0" w:space="0" w:color="auto"/>
                    <w:right w:val="none" w:sz="0" w:space="0" w:color="auto"/>
                  </w:divBdr>
                </w:div>
              </w:divsChild>
            </w:div>
            <w:div w:id="1592355239">
              <w:marLeft w:val="0"/>
              <w:marRight w:val="0"/>
              <w:marTop w:val="219"/>
              <w:marBottom w:val="0"/>
              <w:divBdr>
                <w:top w:val="none" w:sz="0" w:space="0" w:color="auto"/>
                <w:left w:val="none" w:sz="0" w:space="0" w:color="auto"/>
                <w:bottom w:val="none" w:sz="0" w:space="0" w:color="auto"/>
                <w:right w:val="none" w:sz="0" w:space="0" w:color="auto"/>
              </w:divBdr>
              <w:divsChild>
                <w:div w:id="368143299">
                  <w:marLeft w:val="0"/>
                  <w:marRight w:val="0"/>
                  <w:marTop w:val="219"/>
                  <w:marBottom w:val="240"/>
                  <w:divBdr>
                    <w:top w:val="none" w:sz="0" w:space="0" w:color="auto"/>
                    <w:left w:val="none" w:sz="0" w:space="0" w:color="auto"/>
                    <w:bottom w:val="none" w:sz="0" w:space="0" w:color="auto"/>
                    <w:right w:val="none" w:sz="0" w:space="0" w:color="auto"/>
                  </w:divBdr>
                  <w:divsChild>
                    <w:div w:id="1711882814">
                      <w:marLeft w:val="0"/>
                      <w:marRight w:val="0"/>
                      <w:marTop w:val="0"/>
                      <w:marBottom w:val="0"/>
                      <w:divBdr>
                        <w:top w:val="none" w:sz="0" w:space="0" w:color="auto"/>
                        <w:left w:val="none" w:sz="0" w:space="0" w:color="auto"/>
                        <w:bottom w:val="none" w:sz="0" w:space="0" w:color="auto"/>
                        <w:right w:val="none" w:sz="0" w:space="0" w:color="auto"/>
                      </w:divBdr>
                    </w:div>
                    <w:div w:id="1752923606">
                      <w:marLeft w:val="0"/>
                      <w:marRight w:val="0"/>
                      <w:marTop w:val="219"/>
                      <w:marBottom w:val="0"/>
                      <w:divBdr>
                        <w:top w:val="none" w:sz="0" w:space="0" w:color="auto"/>
                        <w:left w:val="none" w:sz="0" w:space="0" w:color="auto"/>
                        <w:bottom w:val="none" w:sz="0" w:space="0" w:color="auto"/>
                        <w:right w:val="none" w:sz="0" w:space="0" w:color="auto"/>
                      </w:divBdr>
                    </w:div>
                    <w:div w:id="757752760">
                      <w:marLeft w:val="0"/>
                      <w:marRight w:val="0"/>
                      <w:marTop w:val="219"/>
                      <w:marBottom w:val="0"/>
                      <w:divBdr>
                        <w:top w:val="none" w:sz="0" w:space="0" w:color="auto"/>
                        <w:left w:val="none" w:sz="0" w:space="0" w:color="auto"/>
                        <w:bottom w:val="none" w:sz="0" w:space="0" w:color="auto"/>
                        <w:right w:val="none" w:sz="0" w:space="0" w:color="auto"/>
                      </w:divBdr>
                    </w:div>
                    <w:div w:id="841042636">
                      <w:marLeft w:val="0"/>
                      <w:marRight w:val="0"/>
                      <w:marTop w:val="219"/>
                      <w:marBottom w:val="0"/>
                      <w:divBdr>
                        <w:top w:val="none" w:sz="0" w:space="0" w:color="auto"/>
                        <w:left w:val="none" w:sz="0" w:space="0" w:color="auto"/>
                        <w:bottom w:val="none" w:sz="0" w:space="0" w:color="auto"/>
                        <w:right w:val="none" w:sz="0" w:space="0" w:color="auto"/>
                      </w:divBdr>
                    </w:div>
                  </w:divsChild>
                </w:div>
                <w:div w:id="1074471521">
                  <w:marLeft w:val="0"/>
                  <w:marRight w:val="0"/>
                  <w:marTop w:val="260"/>
                  <w:marBottom w:val="240"/>
                  <w:divBdr>
                    <w:top w:val="none" w:sz="0" w:space="0" w:color="auto"/>
                    <w:left w:val="none" w:sz="0" w:space="0" w:color="auto"/>
                    <w:bottom w:val="none" w:sz="0" w:space="0" w:color="auto"/>
                    <w:right w:val="none" w:sz="0" w:space="0" w:color="auto"/>
                  </w:divBdr>
                </w:div>
                <w:div w:id="1675960795">
                  <w:marLeft w:val="0"/>
                  <w:marRight w:val="0"/>
                  <w:marTop w:val="240"/>
                  <w:marBottom w:val="0"/>
                  <w:divBdr>
                    <w:top w:val="none" w:sz="0" w:space="0" w:color="auto"/>
                    <w:left w:val="none" w:sz="0" w:space="0" w:color="auto"/>
                    <w:bottom w:val="none" w:sz="0" w:space="0" w:color="auto"/>
                    <w:right w:val="none" w:sz="0" w:space="0" w:color="auto"/>
                  </w:divBdr>
                </w:div>
              </w:divsChild>
            </w:div>
            <w:div w:id="864556139">
              <w:marLeft w:val="0"/>
              <w:marRight w:val="0"/>
              <w:marTop w:val="219"/>
              <w:marBottom w:val="0"/>
              <w:divBdr>
                <w:top w:val="none" w:sz="0" w:space="0" w:color="auto"/>
                <w:left w:val="none" w:sz="0" w:space="0" w:color="auto"/>
                <w:bottom w:val="none" w:sz="0" w:space="0" w:color="auto"/>
                <w:right w:val="none" w:sz="0" w:space="0" w:color="auto"/>
              </w:divBdr>
              <w:divsChild>
                <w:div w:id="916549200">
                  <w:marLeft w:val="0"/>
                  <w:marRight w:val="0"/>
                  <w:marTop w:val="219"/>
                  <w:marBottom w:val="240"/>
                  <w:divBdr>
                    <w:top w:val="none" w:sz="0" w:space="0" w:color="auto"/>
                    <w:left w:val="none" w:sz="0" w:space="0" w:color="auto"/>
                    <w:bottom w:val="none" w:sz="0" w:space="0" w:color="auto"/>
                    <w:right w:val="none" w:sz="0" w:space="0" w:color="auto"/>
                  </w:divBdr>
                  <w:divsChild>
                    <w:div w:id="1476990322">
                      <w:marLeft w:val="0"/>
                      <w:marRight w:val="0"/>
                      <w:marTop w:val="0"/>
                      <w:marBottom w:val="0"/>
                      <w:divBdr>
                        <w:top w:val="none" w:sz="0" w:space="0" w:color="auto"/>
                        <w:left w:val="none" w:sz="0" w:space="0" w:color="auto"/>
                        <w:bottom w:val="none" w:sz="0" w:space="0" w:color="auto"/>
                        <w:right w:val="none" w:sz="0" w:space="0" w:color="auto"/>
                      </w:divBdr>
                    </w:div>
                  </w:divsChild>
                </w:div>
                <w:div w:id="166677510">
                  <w:marLeft w:val="0"/>
                  <w:marRight w:val="0"/>
                  <w:marTop w:val="240"/>
                  <w:marBottom w:val="0"/>
                  <w:divBdr>
                    <w:top w:val="none" w:sz="0" w:space="0" w:color="auto"/>
                    <w:left w:val="none" w:sz="0" w:space="0" w:color="auto"/>
                    <w:bottom w:val="none" w:sz="0" w:space="0" w:color="auto"/>
                    <w:right w:val="none" w:sz="0" w:space="0" w:color="auto"/>
                  </w:divBdr>
                </w:div>
              </w:divsChild>
            </w:div>
            <w:div w:id="1941983986">
              <w:marLeft w:val="0"/>
              <w:marRight w:val="0"/>
              <w:marTop w:val="219"/>
              <w:marBottom w:val="0"/>
              <w:divBdr>
                <w:top w:val="none" w:sz="0" w:space="0" w:color="auto"/>
                <w:left w:val="none" w:sz="0" w:space="0" w:color="auto"/>
                <w:bottom w:val="none" w:sz="0" w:space="0" w:color="auto"/>
                <w:right w:val="none" w:sz="0" w:space="0" w:color="auto"/>
              </w:divBdr>
              <w:divsChild>
                <w:div w:id="1431505759">
                  <w:marLeft w:val="0"/>
                  <w:marRight w:val="0"/>
                  <w:marTop w:val="219"/>
                  <w:marBottom w:val="240"/>
                  <w:divBdr>
                    <w:top w:val="none" w:sz="0" w:space="0" w:color="auto"/>
                    <w:left w:val="none" w:sz="0" w:space="0" w:color="auto"/>
                    <w:bottom w:val="none" w:sz="0" w:space="0" w:color="auto"/>
                    <w:right w:val="none" w:sz="0" w:space="0" w:color="auto"/>
                  </w:divBdr>
                  <w:divsChild>
                    <w:div w:id="1272125827">
                      <w:marLeft w:val="0"/>
                      <w:marRight w:val="0"/>
                      <w:marTop w:val="0"/>
                      <w:marBottom w:val="0"/>
                      <w:divBdr>
                        <w:top w:val="none" w:sz="0" w:space="0" w:color="auto"/>
                        <w:left w:val="none" w:sz="0" w:space="0" w:color="auto"/>
                        <w:bottom w:val="none" w:sz="0" w:space="0" w:color="auto"/>
                        <w:right w:val="none" w:sz="0" w:space="0" w:color="auto"/>
                      </w:divBdr>
                    </w:div>
                  </w:divsChild>
                </w:div>
                <w:div w:id="951593940">
                  <w:marLeft w:val="0"/>
                  <w:marRight w:val="0"/>
                  <w:marTop w:val="260"/>
                  <w:marBottom w:val="240"/>
                  <w:divBdr>
                    <w:top w:val="none" w:sz="0" w:space="0" w:color="auto"/>
                    <w:left w:val="none" w:sz="0" w:space="0" w:color="auto"/>
                    <w:bottom w:val="none" w:sz="0" w:space="0" w:color="auto"/>
                    <w:right w:val="none" w:sz="0" w:space="0" w:color="auto"/>
                  </w:divBdr>
                </w:div>
                <w:div w:id="2058041871">
                  <w:marLeft w:val="0"/>
                  <w:marRight w:val="0"/>
                  <w:marTop w:val="240"/>
                  <w:marBottom w:val="0"/>
                  <w:divBdr>
                    <w:top w:val="none" w:sz="0" w:space="0" w:color="auto"/>
                    <w:left w:val="none" w:sz="0" w:space="0" w:color="auto"/>
                    <w:bottom w:val="none" w:sz="0" w:space="0" w:color="auto"/>
                    <w:right w:val="none" w:sz="0" w:space="0" w:color="auto"/>
                  </w:divBdr>
                </w:div>
              </w:divsChild>
            </w:div>
            <w:div w:id="1015157281">
              <w:marLeft w:val="0"/>
              <w:marRight w:val="0"/>
              <w:marTop w:val="219"/>
              <w:marBottom w:val="0"/>
              <w:divBdr>
                <w:top w:val="none" w:sz="0" w:space="0" w:color="auto"/>
                <w:left w:val="none" w:sz="0" w:space="0" w:color="auto"/>
                <w:bottom w:val="none" w:sz="0" w:space="0" w:color="auto"/>
                <w:right w:val="none" w:sz="0" w:space="0" w:color="auto"/>
              </w:divBdr>
              <w:divsChild>
                <w:div w:id="490024690">
                  <w:marLeft w:val="0"/>
                  <w:marRight w:val="0"/>
                  <w:marTop w:val="219"/>
                  <w:marBottom w:val="240"/>
                  <w:divBdr>
                    <w:top w:val="none" w:sz="0" w:space="0" w:color="auto"/>
                    <w:left w:val="none" w:sz="0" w:space="0" w:color="auto"/>
                    <w:bottom w:val="none" w:sz="0" w:space="0" w:color="auto"/>
                    <w:right w:val="none" w:sz="0" w:space="0" w:color="auto"/>
                  </w:divBdr>
                  <w:divsChild>
                    <w:div w:id="670833016">
                      <w:marLeft w:val="0"/>
                      <w:marRight w:val="0"/>
                      <w:marTop w:val="0"/>
                      <w:marBottom w:val="0"/>
                      <w:divBdr>
                        <w:top w:val="none" w:sz="0" w:space="0" w:color="auto"/>
                        <w:left w:val="none" w:sz="0" w:space="0" w:color="auto"/>
                        <w:bottom w:val="none" w:sz="0" w:space="0" w:color="auto"/>
                        <w:right w:val="none" w:sz="0" w:space="0" w:color="auto"/>
                      </w:divBdr>
                    </w:div>
                  </w:divsChild>
                </w:div>
                <w:div w:id="343946958">
                  <w:marLeft w:val="0"/>
                  <w:marRight w:val="0"/>
                  <w:marTop w:val="260"/>
                  <w:marBottom w:val="240"/>
                  <w:divBdr>
                    <w:top w:val="none" w:sz="0" w:space="0" w:color="auto"/>
                    <w:left w:val="none" w:sz="0" w:space="0" w:color="auto"/>
                    <w:bottom w:val="none" w:sz="0" w:space="0" w:color="auto"/>
                    <w:right w:val="none" w:sz="0" w:space="0" w:color="auto"/>
                  </w:divBdr>
                </w:div>
                <w:div w:id="497426642">
                  <w:marLeft w:val="0"/>
                  <w:marRight w:val="0"/>
                  <w:marTop w:val="240"/>
                  <w:marBottom w:val="0"/>
                  <w:divBdr>
                    <w:top w:val="none" w:sz="0" w:space="0" w:color="auto"/>
                    <w:left w:val="none" w:sz="0" w:space="0" w:color="auto"/>
                    <w:bottom w:val="none" w:sz="0" w:space="0" w:color="auto"/>
                    <w:right w:val="none" w:sz="0" w:space="0" w:color="auto"/>
                  </w:divBdr>
                </w:div>
              </w:divsChild>
            </w:div>
            <w:div w:id="873228587">
              <w:marLeft w:val="0"/>
              <w:marRight w:val="0"/>
              <w:marTop w:val="219"/>
              <w:marBottom w:val="0"/>
              <w:divBdr>
                <w:top w:val="none" w:sz="0" w:space="0" w:color="auto"/>
                <w:left w:val="none" w:sz="0" w:space="0" w:color="auto"/>
                <w:bottom w:val="none" w:sz="0" w:space="0" w:color="auto"/>
                <w:right w:val="none" w:sz="0" w:space="0" w:color="auto"/>
              </w:divBdr>
              <w:divsChild>
                <w:div w:id="88047415">
                  <w:marLeft w:val="0"/>
                  <w:marRight w:val="0"/>
                  <w:marTop w:val="219"/>
                  <w:marBottom w:val="240"/>
                  <w:divBdr>
                    <w:top w:val="none" w:sz="0" w:space="0" w:color="auto"/>
                    <w:left w:val="none" w:sz="0" w:space="0" w:color="auto"/>
                    <w:bottom w:val="none" w:sz="0" w:space="0" w:color="auto"/>
                    <w:right w:val="none" w:sz="0" w:space="0" w:color="auto"/>
                  </w:divBdr>
                  <w:divsChild>
                    <w:div w:id="418058882">
                      <w:marLeft w:val="0"/>
                      <w:marRight w:val="0"/>
                      <w:marTop w:val="0"/>
                      <w:marBottom w:val="0"/>
                      <w:divBdr>
                        <w:top w:val="none" w:sz="0" w:space="0" w:color="auto"/>
                        <w:left w:val="none" w:sz="0" w:space="0" w:color="auto"/>
                        <w:bottom w:val="none" w:sz="0" w:space="0" w:color="auto"/>
                        <w:right w:val="none" w:sz="0" w:space="0" w:color="auto"/>
                      </w:divBdr>
                    </w:div>
                  </w:divsChild>
                </w:div>
                <w:div w:id="550076283">
                  <w:marLeft w:val="0"/>
                  <w:marRight w:val="0"/>
                  <w:marTop w:val="260"/>
                  <w:marBottom w:val="240"/>
                  <w:divBdr>
                    <w:top w:val="none" w:sz="0" w:space="0" w:color="auto"/>
                    <w:left w:val="none" w:sz="0" w:space="0" w:color="auto"/>
                    <w:bottom w:val="none" w:sz="0" w:space="0" w:color="auto"/>
                    <w:right w:val="none" w:sz="0" w:space="0" w:color="auto"/>
                  </w:divBdr>
                </w:div>
                <w:div w:id="1258975826">
                  <w:marLeft w:val="0"/>
                  <w:marRight w:val="0"/>
                  <w:marTop w:val="260"/>
                  <w:marBottom w:val="240"/>
                  <w:divBdr>
                    <w:top w:val="none" w:sz="0" w:space="0" w:color="auto"/>
                    <w:left w:val="none" w:sz="0" w:space="0" w:color="auto"/>
                    <w:bottom w:val="none" w:sz="0" w:space="0" w:color="auto"/>
                    <w:right w:val="none" w:sz="0" w:space="0" w:color="auto"/>
                  </w:divBdr>
                </w:div>
                <w:div w:id="13920039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0677454">
          <w:marLeft w:val="0"/>
          <w:marRight w:val="0"/>
          <w:marTop w:val="0"/>
          <w:marBottom w:val="0"/>
          <w:divBdr>
            <w:top w:val="none" w:sz="0" w:space="0" w:color="auto"/>
            <w:left w:val="none" w:sz="0" w:space="0" w:color="auto"/>
            <w:bottom w:val="none" w:sz="0" w:space="0" w:color="auto"/>
            <w:right w:val="none" w:sz="0" w:space="0" w:color="auto"/>
          </w:divBdr>
          <w:divsChild>
            <w:div w:id="601914899">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quebec.gouv.qc.ca/fr/showdoc/cs/C-19?langCont=fr" TargetMode="External"/><Relationship Id="rId13" Type="http://schemas.openxmlformats.org/officeDocument/2006/relationships/hyperlink" Target="javascript:displayOtherLang(%22se:573_18%22);"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displayOtherLang(%22se:573_17%22);" TargetMode="External"/><Relationship Id="rId17" Type="http://schemas.openxmlformats.org/officeDocument/2006/relationships/hyperlink" Target="http://legisquebec.gouv.qc.ca/fr/showDoc/cs/C-25.01?&amp;digest=" TargetMode="External"/><Relationship Id="rId2" Type="http://schemas.openxmlformats.org/officeDocument/2006/relationships/styles" Target="styles.xml"/><Relationship Id="rId16" Type="http://schemas.openxmlformats.org/officeDocument/2006/relationships/hyperlink" Target="javascript:displayOtherLang(%22se:573_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displayOtherLang(%22se:573_16%22);" TargetMode="External"/><Relationship Id="rId5" Type="http://schemas.openxmlformats.org/officeDocument/2006/relationships/webSettings" Target="webSettings.xml"/><Relationship Id="rId15" Type="http://schemas.openxmlformats.org/officeDocument/2006/relationships/hyperlink" Target="http://legisquebec.gouv.qc.ca/fr/showDoc/cs/A-2.1?&amp;digest=" TargetMode="External"/><Relationship Id="rId10" Type="http://schemas.openxmlformats.org/officeDocument/2006/relationships/hyperlink" Target="javascript:displayOtherLang(%22se:573_15%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displayOtherLang(%22se:573_14%22);" TargetMode="External"/><Relationship Id="rId14" Type="http://schemas.openxmlformats.org/officeDocument/2006/relationships/hyperlink" Target="javascript:displayOtherLang(%22se:573_19%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DBD-2760-4D63-8A3D-990AF84C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591</Words>
  <Characters>3255</Characters>
  <Application>Microsoft Office Word</Application>
  <DocSecurity>8</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Ville de Montréal</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RIEL</dc:creator>
  <cp:lastModifiedBy>Francine RIEL</cp:lastModifiedBy>
  <cp:revision>3</cp:revision>
  <dcterms:created xsi:type="dcterms:W3CDTF">2020-05-06T16:59:00Z</dcterms:created>
  <dcterms:modified xsi:type="dcterms:W3CDTF">2020-05-06T17:17:00Z</dcterms:modified>
</cp:coreProperties>
</file>